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77B78C98" w:rsidR="005433B2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44B696" w14:textId="1EA908C2" w:rsidR="005B5896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</w:t>
            </w:r>
            <w:r w:rsidRPr="001A44AA">
              <w:rPr>
                <w:rFonts w:cs="Times New Roman"/>
              </w:rPr>
              <w:t>typu ZKL-</w:t>
            </w:r>
            <w:r w:rsidR="00BF12C6">
              <w:rPr>
                <w:rFonts w:cs="Times New Roman"/>
              </w:rPr>
              <w:t>1</w:t>
            </w:r>
            <w:r w:rsidRPr="001A44AA">
              <w:rPr>
                <w:rFonts w:cs="Times New Roman"/>
              </w:rPr>
              <w:t>,</w:t>
            </w:r>
            <w:r w:rsidR="00BF12C6">
              <w:rPr>
                <w:rFonts w:cs="Times New Roman"/>
              </w:rPr>
              <w:t>6</w:t>
            </w:r>
            <w:r w:rsidRPr="001A44AA">
              <w:rPr>
                <w:rFonts w:cs="Times New Roman"/>
              </w:rPr>
              <w:t xml:space="preserve"> z </w:t>
            </w:r>
            <w:r w:rsidR="00BF12C6">
              <w:rPr>
                <w:rFonts w:cs="Times New Roman"/>
              </w:rPr>
              <w:t>trzy</w:t>
            </w:r>
            <w:r w:rsidR="00541327">
              <w:rPr>
                <w:rFonts w:cs="Times New Roman"/>
              </w:rPr>
              <w:t>polową</w:t>
            </w:r>
            <w:r w:rsidRPr="001A44AA">
              <w:rPr>
                <w:rFonts w:cs="Times New Roman"/>
              </w:rPr>
              <w:t xml:space="preserve"> rozdzielnicą SN</w:t>
            </w:r>
            <w:r w:rsidR="00740419">
              <w:rPr>
                <w:rFonts w:cs="Times New Roman"/>
              </w:rPr>
              <w:t xml:space="preserve"> </w:t>
            </w:r>
          </w:p>
          <w:p w14:paraId="77014A8B" w14:textId="2D760CD8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D92073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7F5236DD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2759C8B9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typu </w:t>
      </w:r>
      <w:r w:rsidRPr="001A44AA">
        <w:t>ZKL-</w:t>
      </w:r>
      <w:r w:rsidR="00BF12C6">
        <w:t>1</w:t>
      </w:r>
      <w:r w:rsidRPr="001A44AA">
        <w:t>,</w:t>
      </w:r>
      <w:r w:rsidR="00BF12C6">
        <w:t>6</w:t>
      </w:r>
      <w:r w:rsidRPr="001A44AA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4139266E" w:rsidR="00864DC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>złącza kablowego SN</w:t>
      </w:r>
      <w:r w:rsidRPr="00C85E5A">
        <w:t xml:space="preserve"> </w:t>
      </w:r>
      <w:r w:rsidRPr="001A44AA">
        <w:t>typu ZKL-</w:t>
      </w:r>
      <w:r w:rsidR="00BF12C6">
        <w:t>1</w:t>
      </w:r>
      <w:r w:rsidRPr="001A44AA">
        <w:t>,</w:t>
      </w:r>
      <w:r w:rsidR="00BF12C6">
        <w:t>6</w:t>
      </w:r>
      <w:r w:rsidRPr="001A44AA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6F7F2580" w14:textId="77777777" w:rsidR="00BE43C1" w:rsidRDefault="00BE43C1" w:rsidP="00BE43C1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7BCE9CC7" w14:textId="77777777" w:rsidR="00BE43C1" w:rsidRPr="000D7129" w:rsidRDefault="00BE43C1" w:rsidP="00BE43C1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>arba elewacyjna nanosilikonowa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57BD818E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CD192E">
        <w:t>–</w:t>
      </w:r>
      <w:r w:rsidR="00BA222F">
        <w:t xml:space="preserve"> </w:t>
      </w:r>
      <w:r w:rsidR="00D64897" w:rsidRPr="00D64897">
        <w:t>tynk</w:t>
      </w:r>
      <w:r w:rsidR="00CD192E">
        <w:t xml:space="preserve"> 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78E461AB" w14:textId="77777777" w:rsidR="00BE43C1" w:rsidRDefault="00BE43C1" w:rsidP="00BE43C1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nN i SN </w:t>
      </w:r>
      <w:r>
        <w:t>od strony frontowej złącza</w:t>
      </w:r>
      <w:r w:rsidRPr="00D64897">
        <w:t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prod.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>Piwnica zapewnia całkowitą wodo i olejo</w:t>
      </w:r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F259A0" w14:paraId="4C12A8A5" w14:textId="77777777" w:rsidTr="00A71C3A">
        <w:tc>
          <w:tcPr>
            <w:tcW w:w="5949" w:type="dxa"/>
          </w:tcPr>
          <w:p w14:paraId="04123F24" w14:textId="4BBE5D25" w:rsidR="00F259A0" w:rsidRDefault="00F259A0" w:rsidP="00F259A0">
            <w:r>
              <w:t>Kubatura [m3]</w:t>
            </w:r>
          </w:p>
        </w:tc>
        <w:tc>
          <w:tcPr>
            <w:tcW w:w="3111" w:type="dxa"/>
          </w:tcPr>
          <w:p w14:paraId="74BAA775" w14:textId="7C8CAC96" w:rsidR="00F259A0" w:rsidRPr="001A44AA" w:rsidRDefault="00FC34AC" w:rsidP="00F259A0">
            <w:r>
              <w:t>2</w:t>
            </w:r>
            <w:r w:rsidR="004914C6" w:rsidRPr="001A44AA">
              <w:t>,</w:t>
            </w:r>
            <w:r w:rsidR="00BF12C6">
              <w:t>23</w:t>
            </w:r>
          </w:p>
        </w:tc>
      </w:tr>
      <w:tr w:rsidR="00F259A0" w14:paraId="14014987" w14:textId="77777777" w:rsidTr="00A71C3A">
        <w:tc>
          <w:tcPr>
            <w:tcW w:w="5949" w:type="dxa"/>
          </w:tcPr>
          <w:p w14:paraId="02DCA7B3" w14:textId="689327D7" w:rsidR="00F259A0" w:rsidRDefault="00F259A0" w:rsidP="00F259A0">
            <w:r>
              <w:t>Powierzchnia użytkowa [m2]</w:t>
            </w:r>
          </w:p>
        </w:tc>
        <w:tc>
          <w:tcPr>
            <w:tcW w:w="3111" w:type="dxa"/>
          </w:tcPr>
          <w:p w14:paraId="08256801" w14:textId="5B1C8233" w:rsidR="00F259A0" w:rsidRPr="001A44AA" w:rsidRDefault="00FC34AC" w:rsidP="00F259A0">
            <w:r>
              <w:t>1</w:t>
            </w:r>
            <w:r w:rsidR="00F259A0" w:rsidRPr="001A44AA">
              <w:t>,</w:t>
            </w:r>
            <w:r w:rsidR="00BF12C6">
              <w:t>50</w:t>
            </w:r>
          </w:p>
        </w:tc>
      </w:tr>
      <w:tr w:rsidR="00F259A0" w14:paraId="65E397B7" w14:textId="77777777" w:rsidTr="00A71C3A">
        <w:tc>
          <w:tcPr>
            <w:tcW w:w="5949" w:type="dxa"/>
          </w:tcPr>
          <w:p w14:paraId="106E6DC1" w14:textId="514D517A" w:rsidR="00F259A0" w:rsidRDefault="00F259A0" w:rsidP="00F259A0">
            <w:r>
              <w:t>Powierzchnia zabudowy [m2]</w:t>
            </w:r>
          </w:p>
        </w:tc>
        <w:tc>
          <w:tcPr>
            <w:tcW w:w="3111" w:type="dxa"/>
          </w:tcPr>
          <w:p w14:paraId="73231C0A" w14:textId="4F678011" w:rsidR="00F259A0" w:rsidRPr="001A44AA" w:rsidRDefault="00BF12C6" w:rsidP="00F259A0">
            <w:r>
              <w:t>1</w:t>
            </w:r>
            <w:r w:rsidR="00F259A0" w:rsidRPr="001A44AA">
              <w:t>,</w:t>
            </w:r>
            <w:r>
              <w:t>92</w:t>
            </w:r>
          </w:p>
        </w:tc>
      </w:tr>
      <w:tr w:rsidR="00F259A0" w14:paraId="33167357" w14:textId="77777777" w:rsidTr="00A71C3A">
        <w:tc>
          <w:tcPr>
            <w:tcW w:w="5949" w:type="dxa"/>
          </w:tcPr>
          <w:p w14:paraId="67404595" w14:textId="62451F44" w:rsidR="00F259A0" w:rsidRDefault="00F259A0" w:rsidP="00F259A0">
            <w:r>
              <w:t>Wysokość</w:t>
            </w:r>
            <w:r w:rsidR="004914C6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4CF25DA1" w14:textId="0B188B6F" w:rsidR="00F259A0" w:rsidRPr="001A44AA" w:rsidRDefault="00541327" w:rsidP="00F259A0">
            <w:r>
              <w:t>1</w:t>
            </w:r>
            <w:r w:rsidR="00F259A0" w:rsidRPr="001A44AA">
              <w:t>,</w:t>
            </w:r>
            <w:r>
              <w:t>9</w:t>
            </w:r>
            <w:r w:rsidR="004914C6" w:rsidRPr="001A44AA">
              <w:t>6</w:t>
            </w:r>
          </w:p>
        </w:tc>
      </w:tr>
      <w:tr w:rsidR="00F259A0" w14:paraId="2C62C526" w14:textId="77777777" w:rsidTr="00A71C3A">
        <w:tc>
          <w:tcPr>
            <w:tcW w:w="5949" w:type="dxa"/>
          </w:tcPr>
          <w:p w14:paraId="4BB4C81F" w14:textId="0AB4BB8D" w:rsidR="00F259A0" w:rsidRDefault="00F259A0" w:rsidP="00F259A0">
            <w:r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2F031DA0" w:rsidR="00F259A0" w:rsidRPr="001A44AA" w:rsidRDefault="00F259A0" w:rsidP="00F259A0">
            <w:r w:rsidRPr="001A44AA">
              <w:t>1,</w:t>
            </w:r>
            <w:r w:rsidR="004914C6" w:rsidRPr="001A44AA">
              <w:t>2</w:t>
            </w:r>
            <w:r w:rsidRPr="001A44AA">
              <w:t>0</w:t>
            </w:r>
          </w:p>
        </w:tc>
      </w:tr>
      <w:tr w:rsidR="00F259A0" w14:paraId="0748AAFF" w14:textId="77777777" w:rsidTr="00A71C3A">
        <w:tc>
          <w:tcPr>
            <w:tcW w:w="5949" w:type="dxa"/>
          </w:tcPr>
          <w:p w14:paraId="1686F75D" w14:textId="528BBD1B" w:rsidR="00F259A0" w:rsidRDefault="00F259A0" w:rsidP="00F259A0">
            <w:r>
              <w:t>Długość [m]</w:t>
            </w:r>
          </w:p>
        </w:tc>
        <w:tc>
          <w:tcPr>
            <w:tcW w:w="3111" w:type="dxa"/>
          </w:tcPr>
          <w:p w14:paraId="1112DDAA" w14:textId="60BF1B6F" w:rsidR="00F259A0" w:rsidRPr="001A44AA" w:rsidRDefault="00BF12C6" w:rsidP="00F259A0">
            <w:r>
              <w:t>1</w:t>
            </w:r>
            <w:r w:rsidR="00F259A0" w:rsidRPr="001A44AA">
              <w:t>,</w:t>
            </w:r>
            <w:r>
              <w:t>6</w:t>
            </w:r>
            <w:r w:rsidR="00FC34AC">
              <w:t>0</w:t>
            </w:r>
          </w:p>
        </w:tc>
      </w:tr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29" w:name="_Ref65576953"/>
      <w:bookmarkStart w:id="30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9"/>
      <w:bookmarkEnd w:id="30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r w:rsidR="00F44749">
        <w:t>złacza</w:t>
      </w:r>
      <w:r w:rsidRPr="0012681C">
        <w:t xml:space="preserve"> bezpośrednio na podłożu gruntowym. Rozwiązanie takie może być zastosowane we wszystkiego rodzaju gruntach niespoistych i niewysadzinowych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 w:rsidRPr="001A44AA">
        <w:t>ok. 0,89m</w:t>
      </w:r>
      <w:r w:rsidRPr="007454E6">
        <w:t xml:space="preserve"> w przygotowanym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1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2" w:name="_Toc203980204"/>
      <w:r>
        <w:t>Informacja o zasadniczych elementach wyposażenia budowlano – instalacyjnego zapewniających użytkowanie obiektu budowlanego zgodnie z przeznaczeniem</w:t>
      </w:r>
      <w:bookmarkEnd w:id="32"/>
    </w:p>
    <w:p w14:paraId="6898AC84" w14:textId="7CDB1635" w:rsidR="006D1478" w:rsidRDefault="00F259A0" w:rsidP="006D1478">
      <w:pPr>
        <w:ind w:firstLine="576"/>
      </w:pPr>
      <w:r w:rsidRPr="008E25FC">
        <w:t>Projektowan</w:t>
      </w:r>
      <w:r>
        <w:t xml:space="preserve">e złącze wyposażone będzie w </w:t>
      </w:r>
      <w:r w:rsidR="00240A09">
        <w:t>3</w:t>
      </w:r>
      <w:r w:rsidR="006D1478">
        <w:t>-polow</w:t>
      </w:r>
      <w:r w:rsidR="00E733D6">
        <w:t>ą</w:t>
      </w:r>
      <w:r w:rsidR="006D1478">
        <w:t xml:space="preserve"> rozdzielnicę SN.</w:t>
      </w:r>
    </w:p>
    <w:p w14:paraId="7714895B" w14:textId="2745CA21" w:rsidR="00454A80" w:rsidRDefault="00454A80" w:rsidP="00454A80">
      <w:pPr>
        <w:pStyle w:val="Nagwek2"/>
      </w:pPr>
      <w:bookmarkStart w:id="33" w:name="_Toc203980205"/>
      <w:r>
        <w:lastRenderedPageBreak/>
        <w:t>Dane dotyczące ochrony przeciwpożarowej</w:t>
      </w:r>
      <w:bookmarkEnd w:id="33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4" w:name="_Toc203980206"/>
      <w:r>
        <w:t>Dane elektryczne</w:t>
      </w:r>
      <w:bookmarkEnd w:id="34"/>
    </w:p>
    <w:p w14:paraId="53FCEE33" w14:textId="1C6AE10B" w:rsidR="002F56AD" w:rsidRPr="001A44AA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1A44AA">
        <w:t>Rozdzielnica SN</w:t>
      </w:r>
    </w:p>
    <w:p w14:paraId="40B26522" w14:textId="426B7A2E" w:rsidR="001B1259" w:rsidRPr="001A44AA" w:rsidRDefault="001B1259" w:rsidP="001B1259">
      <w:pPr>
        <w:ind w:firstLine="576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Zastosowano rozdzielnicę SN typu Xiria / Xiria-xGear w układzie KKK przystosowaną do pracy w sieciach SN do 17,5kV</w:t>
      </w:r>
      <w:r w:rsidR="00827DEB">
        <w:rPr>
          <w:rFonts w:ascii="Calibri" w:eastAsia="Calibri" w:hAnsi="Calibri" w:cs="Times New Roman"/>
        </w:rPr>
        <w:t xml:space="preserve"> </w:t>
      </w:r>
      <w:r w:rsidR="00827DEB" w:rsidRPr="00827DEB">
        <w:rPr>
          <w:rFonts w:ascii="Calibri" w:eastAsia="Calibri" w:hAnsi="Calibri" w:cs="Times New Roman"/>
        </w:rPr>
        <w:t>o izolacji stałopowietrzn</w:t>
      </w:r>
      <w:r w:rsidR="00827DEB">
        <w:rPr>
          <w:rFonts w:ascii="Calibri" w:eastAsia="Calibri" w:hAnsi="Calibri" w:cs="Times New Roman"/>
        </w:rPr>
        <w:t>ej.</w:t>
      </w:r>
      <w:r w:rsidRPr="001A44AA">
        <w:rPr>
          <w:rFonts w:ascii="Calibri" w:eastAsia="Calibri" w:hAnsi="Calibri" w:cs="Times New Roman"/>
        </w:rPr>
        <w:t xml:space="preserve"> Zespół aparatów i szyn jest zamknięty w hermetycznej obudowie wypełnionej powietrzem o zapewnionej szczelności </w:t>
      </w:r>
      <w:bookmarkEnd w:id="35"/>
      <w:r w:rsidRPr="001A44AA">
        <w:rPr>
          <w:rFonts w:ascii="Calibri" w:eastAsia="Calibri" w:hAnsi="Calibri" w:cs="Times New Roman"/>
        </w:rPr>
        <w:t xml:space="preserve">przez cały czas użytkowania. Rozdzielnica wykonywana jest jako </w:t>
      </w:r>
      <w:r w:rsidR="00240A09">
        <w:rPr>
          <w:rFonts w:ascii="Calibri" w:eastAsia="Calibri" w:hAnsi="Calibri" w:cs="Times New Roman"/>
        </w:rPr>
        <w:t>3</w:t>
      </w:r>
      <w:r w:rsidRPr="001A44AA">
        <w:rPr>
          <w:rFonts w:ascii="Calibri" w:eastAsia="Calibri" w:hAnsi="Calibri" w:cs="Times New Roman"/>
        </w:rPr>
        <w:t>-polowa składająca się z pól:</w:t>
      </w:r>
    </w:p>
    <w:p w14:paraId="16DE94A9" w14:textId="2630B9A4" w:rsidR="001B1259" w:rsidRPr="001A44AA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Pola liniowe typu K nr 1, 2</w:t>
      </w:r>
      <w:r w:rsidR="00240A09">
        <w:rPr>
          <w:rFonts w:ascii="Calibri" w:eastAsia="Calibri" w:hAnsi="Calibri" w:cs="Times New Roman"/>
        </w:rPr>
        <w:t xml:space="preserve"> oraz </w:t>
      </w:r>
      <w:r w:rsidRPr="001A44AA">
        <w:rPr>
          <w:rFonts w:ascii="Calibri" w:eastAsia="Calibri" w:hAnsi="Calibri" w:cs="Times New Roman"/>
        </w:rPr>
        <w:t>3</w:t>
      </w:r>
      <w:r w:rsidR="00FC34AC">
        <w:rPr>
          <w:rFonts w:ascii="Calibri" w:eastAsia="Calibri" w:hAnsi="Calibri" w:cs="Times New Roman"/>
        </w:rPr>
        <w:t xml:space="preserve"> </w:t>
      </w:r>
      <w:r w:rsidRPr="001A44AA">
        <w:rPr>
          <w:rFonts w:ascii="Calibri" w:eastAsia="Calibri" w:hAnsi="Calibri" w:cs="Times New Roman"/>
        </w:rPr>
        <w:t>wyposażone</w:t>
      </w:r>
      <w:r w:rsidR="00A907A8" w:rsidRPr="001A44AA">
        <w:rPr>
          <w:rFonts w:ascii="Calibri" w:eastAsia="Calibri" w:hAnsi="Calibri" w:cs="Times New Roman"/>
        </w:rPr>
        <w:t xml:space="preserve"> są</w:t>
      </w:r>
      <w:r w:rsidRPr="001A44AA">
        <w:rPr>
          <w:rFonts w:ascii="Calibri" w:eastAsia="Calibri" w:hAnsi="Calibri" w:cs="Times New Roman"/>
        </w:rPr>
        <w:t xml:space="preserve"> w napęd trójpołożeniowy odłączniko-uziemnik z napędem ręcznym, rozłącznik próżniowy 630A z napędem </w:t>
      </w:r>
      <w:r w:rsidR="006D1478">
        <w:rPr>
          <w:rFonts w:ascii="Calibri" w:eastAsia="Calibri" w:hAnsi="Calibri" w:cs="Times New Roman"/>
        </w:rPr>
        <w:t>ręcznym</w:t>
      </w:r>
      <w:r w:rsidR="00240A09">
        <w:rPr>
          <w:rFonts w:ascii="Calibri" w:eastAsia="Calibri" w:hAnsi="Calibri" w:cs="Times New Roman"/>
        </w:rPr>
        <w:t>.</w:t>
      </w:r>
    </w:p>
    <w:p w14:paraId="3A8EC717" w14:textId="0E477C0B" w:rsidR="00B21205" w:rsidRPr="001A44AA" w:rsidRDefault="00B21205" w:rsidP="00B21205">
      <w:pPr>
        <w:pStyle w:val="Nagwek2"/>
      </w:pPr>
      <w:bookmarkStart w:id="36" w:name="_Toc203980207"/>
      <w:r w:rsidRPr="001A44AA">
        <w:t>Dane znamionowe złącza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Łukoochronność</w:t>
            </w:r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7" w:name="_Toc203980208"/>
      <w:r>
        <w:t>Uziemienie złącza</w:t>
      </w:r>
      <w:bookmarkEnd w:id="37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</w:t>
      </w:r>
      <w:r>
        <w:lastRenderedPageBreak/>
        <w:t>ocynkowaną FeZn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38" w:name="_Toc203980209"/>
      <w:r>
        <w:t>Ochrona przeciwporażeniowa</w:t>
      </w:r>
      <w:bookmarkEnd w:id="38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39" w:name="_Ref65578362"/>
      <w:bookmarkStart w:id="40" w:name="_Toc203980210"/>
      <w:r w:rsidRPr="0076637E">
        <w:t>Obliczenia techniczne</w:t>
      </w:r>
      <w:bookmarkEnd w:id="39"/>
      <w:bookmarkEnd w:id="40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5DDEB198" w14:textId="77777777" w:rsidR="00712F3B" w:rsidRDefault="00712F3B" w:rsidP="00B21205"/>
    <w:p w14:paraId="29BDC397" w14:textId="77777777" w:rsidR="006658FC" w:rsidRDefault="006658FC" w:rsidP="00B21205"/>
    <w:p w14:paraId="315C2643" w14:textId="77777777" w:rsidR="006658FC" w:rsidRDefault="006658FC" w:rsidP="00B21205"/>
    <w:p w14:paraId="388FA9A2" w14:textId="77777777" w:rsidR="006D1478" w:rsidRDefault="006D1478" w:rsidP="00B21205"/>
    <w:p w14:paraId="090613B6" w14:textId="77777777" w:rsidR="006D1478" w:rsidRDefault="006D1478" w:rsidP="00B21205"/>
    <w:p w14:paraId="25E0FF1A" w14:textId="77777777" w:rsidR="006D1478" w:rsidRDefault="006D1478" w:rsidP="00B21205"/>
    <w:p w14:paraId="028754D7" w14:textId="77777777" w:rsidR="006D1478" w:rsidRDefault="006D1478" w:rsidP="00B21205"/>
    <w:p w14:paraId="36D4F638" w14:textId="77777777" w:rsidR="006D1478" w:rsidRDefault="006D1478" w:rsidP="00B21205"/>
    <w:p w14:paraId="66998DDC" w14:textId="77777777" w:rsidR="006D1478" w:rsidRDefault="006D1478" w:rsidP="00B21205"/>
    <w:p w14:paraId="6B321652" w14:textId="77777777" w:rsidR="006D1478" w:rsidRDefault="006D1478" w:rsidP="00B21205"/>
    <w:p w14:paraId="6BE28D54" w14:textId="77777777" w:rsidR="00712F3B" w:rsidRDefault="00712F3B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1" w:name="_Toc203980211"/>
      <w:r w:rsidRPr="00222CBD">
        <w:lastRenderedPageBreak/>
        <w:t>Zestawienie materiałów głównych</w:t>
      </w:r>
      <w:bookmarkEnd w:id="41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Ozn.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Jm.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237322B4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>e złącze kablowe SN t</w:t>
            </w:r>
            <w:r w:rsidRPr="001A44AA">
              <w:rPr>
                <w:szCs w:val="24"/>
              </w:rPr>
              <w:t>ypu ZKL-</w:t>
            </w:r>
            <w:r w:rsidR="007C7A09">
              <w:rPr>
                <w:szCs w:val="24"/>
              </w:rPr>
              <w:t>1</w:t>
            </w:r>
            <w:r w:rsidRPr="001A44AA">
              <w:rPr>
                <w:szCs w:val="24"/>
              </w:rPr>
              <w:t>,</w:t>
            </w:r>
            <w:r w:rsidR="007C7A09">
              <w:rPr>
                <w:szCs w:val="24"/>
              </w:rPr>
              <w:t>6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10F60C96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 w:rsidR="006D1478">
              <w:rPr>
                <w:szCs w:val="24"/>
              </w:rPr>
              <w:t>.</w:t>
            </w:r>
          </w:p>
          <w:p w14:paraId="23F3E2C4" w14:textId="7B8F472A" w:rsidR="00B21205" w:rsidRPr="00222CBD" w:rsidRDefault="00556BF1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17EFA63A" w14:textId="77777777" w:rsidR="006D1478" w:rsidRDefault="006D1478" w:rsidP="0050312B">
      <w:pPr>
        <w:spacing w:line="276" w:lineRule="auto"/>
        <w:rPr>
          <w:rFonts w:cs="Arial"/>
        </w:rPr>
      </w:pPr>
    </w:p>
    <w:p w14:paraId="32C6C767" w14:textId="77777777" w:rsidR="006D1478" w:rsidRDefault="006D1478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2" w:name="_Toc203980212"/>
      <w:r>
        <w:lastRenderedPageBreak/>
        <w:t>C</w:t>
      </w:r>
      <w:r w:rsidR="00AB026B" w:rsidRPr="00AB026B">
        <w:t>zęść rysunkowa</w:t>
      </w:r>
      <w:bookmarkEnd w:id="42"/>
    </w:p>
    <w:p w14:paraId="3F2DACCB" w14:textId="77777777" w:rsidR="00CA451D" w:rsidRDefault="00CA451D" w:rsidP="00CA451D">
      <w:pPr>
        <w:ind w:left="360"/>
      </w:pPr>
    </w:p>
    <w:p w14:paraId="42C8C97D" w14:textId="62DC551C" w:rsidR="00DB0ADF" w:rsidRPr="001A44AA" w:rsidRDefault="007011C2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z góry – rozmieszczenie urządzeń w złączu</w:t>
      </w:r>
    </w:p>
    <w:p w14:paraId="2551614E" w14:textId="05D9E00F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po otwarciu drzwi – rozmieszczenie urządzeń w złączu</w:t>
      </w:r>
    </w:p>
    <w:p w14:paraId="289184A1" w14:textId="453414C6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1A44AA">
        <w:t>Uziemienie złącza</w:t>
      </w:r>
    </w:p>
    <w:p w14:paraId="2FD71A75" w14:textId="63706F3A" w:rsidR="007011C2" w:rsidRPr="001A44AA" w:rsidRDefault="007011C2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Rozdzielnica SN typu Xiria / Xiria-xGear</w:t>
      </w:r>
    </w:p>
    <w:p w14:paraId="59CB36CA" w14:textId="6E4A8AC7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00BC6" w14:textId="77777777" w:rsidR="00F05DD4" w:rsidRDefault="00F05DD4" w:rsidP="00244B4D">
      <w:pPr>
        <w:spacing w:after="0" w:line="240" w:lineRule="auto"/>
      </w:pPr>
      <w:r>
        <w:separator/>
      </w:r>
    </w:p>
  </w:endnote>
  <w:endnote w:type="continuationSeparator" w:id="0">
    <w:p w14:paraId="6BA044EA" w14:textId="77777777" w:rsidR="00F05DD4" w:rsidRDefault="00F05DD4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3644A22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6658FC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68116" w14:textId="77777777" w:rsidR="00F05DD4" w:rsidRDefault="00F05DD4" w:rsidP="00244B4D">
      <w:pPr>
        <w:spacing w:after="0" w:line="240" w:lineRule="auto"/>
      </w:pPr>
      <w:r>
        <w:separator/>
      </w:r>
    </w:p>
  </w:footnote>
  <w:footnote w:type="continuationSeparator" w:id="0">
    <w:p w14:paraId="5379A7D9" w14:textId="77777777" w:rsidR="00F05DD4" w:rsidRDefault="00F05DD4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7F72CCC6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1A44AA">
      <w:rPr>
        <w:sz w:val="16"/>
        <w:szCs w:val="16"/>
      </w:rPr>
      <w:t xml:space="preserve">typu </w:t>
    </w:r>
    <w:r w:rsidRPr="001A44AA">
      <w:rPr>
        <w:b/>
        <w:bCs/>
        <w:sz w:val="16"/>
        <w:szCs w:val="16"/>
      </w:rPr>
      <w:t>ZKL-</w:t>
    </w:r>
    <w:r w:rsidR="00BF12C6">
      <w:rPr>
        <w:b/>
        <w:bCs/>
        <w:sz w:val="16"/>
        <w:szCs w:val="16"/>
      </w:rPr>
      <w:t>1,6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26143"/>
    <w:rsid w:val="000344EB"/>
    <w:rsid w:val="000366AD"/>
    <w:rsid w:val="000407E9"/>
    <w:rsid w:val="00041DAC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732CD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9594E"/>
    <w:rsid w:val="001A00D5"/>
    <w:rsid w:val="001A17AE"/>
    <w:rsid w:val="001A431B"/>
    <w:rsid w:val="001A44AA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CBD"/>
    <w:rsid w:val="00225C04"/>
    <w:rsid w:val="00231A5A"/>
    <w:rsid w:val="00233274"/>
    <w:rsid w:val="002347D9"/>
    <w:rsid w:val="00236647"/>
    <w:rsid w:val="00237BF1"/>
    <w:rsid w:val="002400CB"/>
    <w:rsid w:val="00240A09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3542"/>
    <w:rsid w:val="002B57D1"/>
    <w:rsid w:val="002B5DBF"/>
    <w:rsid w:val="002C482F"/>
    <w:rsid w:val="002C6C82"/>
    <w:rsid w:val="002D208E"/>
    <w:rsid w:val="002D727E"/>
    <w:rsid w:val="002E0C35"/>
    <w:rsid w:val="002E127A"/>
    <w:rsid w:val="002E3C7B"/>
    <w:rsid w:val="002F0703"/>
    <w:rsid w:val="002F37DB"/>
    <w:rsid w:val="002F56AD"/>
    <w:rsid w:val="002F7E31"/>
    <w:rsid w:val="003003C7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C47F9"/>
    <w:rsid w:val="003D0C21"/>
    <w:rsid w:val="003D5B6C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39C0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6CC8"/>
    <w:rsid w:val="00517402"/>
    <w:rsid w:val="00522329"/>
    <w:rsid w:val="00525FD4"/>
    <w:rsid w:val="00526B62"/>
    <w:rsid w:val="0053089A"/>
    <w:rsid w:val="00541327"/>
    <w:rsid w:val="005433B2"/>
    <w:rsid w:val="00550F2F"/>
    <w:rsid w:val="00554217"/>
    <w:rsid w:val="00554575"/>
    <w:rsid w:val="00554E89"/>
    <w:rsid w:val="00556BF1"/>
    <w:rsid w:val="00557166"/>
    <w:rsid w:val="005579BE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A603F"/>
    <w:rsid w:val="005B2B70"/>
    <w:rsid w:val="005B417E"/>
    <w:rsid w:val="005B4249"/>
    <w:rsid w:val="005B5896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58FC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4BE"/>
    <w:rsid w:val="006B3AF0"/>
    <w:rsid w:val="006C0664"/>
    <w:rsid w:val="006C2552"/>
    <w:rsid w:val="006C3618"/>
    <w:rsid w:val="006D1478"/>
    <w:rsid w:val="006E46AB"/>
    <w:rsid w:val="006E5301"/>
    <w:rsid w:val="006E67F9"/>
    <w:rsid w:val="006F53C1"/>
    <w:rsid w:val="006F645B"/>
    <w:rsid w:val="007011C2"/>
    <w:rsid w:val="00706963"/>
    <w:rsid w:val="00712F3B"/>
    <w:rsid w:val="007224EC"/>
    <w:rsid w:val="00740419"/>
    <w:rsid w:val="007454E6"/>
    <w:rsid w:val="007520F5"/>
    <w:rsid w:val="0076637E"/>
    <w:rsid w:val="0077505E"/>
    <w:rsid w:val="00775E78"/>
    <w:rsid w:val="007863C3"/>
    <w:rsid w:val="00786C14"/>
    <w:rsid w:val="00790D78"/>
    <w:rsid w:val="007920F5"/>
    <w:rsid w:val="007B0030"/>
    <w:rsid w:val="007C650C"/>
    <w:rsid w:val="007C7A09"/>
    <w:rsid w:val="007D40CC"/>
    <w:rsid w:val="007D4C40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DEB"/>
    <w:rsid w:val="00827E52"/>
    <w:rsid w:val="008304C2"/>
    <w:rsid w:val="00845D1A"/>
    <w:rsid w:val="008551E3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25241"/>
    <w:rsid w:val="00A268F8"/>
    <w:rsid w:val="00A4280E"/>
    <w:rsid w:val="00A61879"/>
    <w:rsid w:val="00A63C9A"/>
    <w:rsid w:val="00A64E04"/>
    <w:rsid w:val="00A70BA7"/>
    <w:rsid w:val="00A71C3A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E43C1"/>
    <w:rsid w:val="00BF12C6"/>
    <w:rsid w:val="00BF2B33"/>
    <w:rsid w:val="00C15678"/>
    <w:rsid w:val="00C15FF6"/>
    <w:rsid w:val="00C21408"/>
    <w:rsid w:val="00C40E5A"/>
    <w:rsid w:val="00C41BB2"/>
    <w:rsid w:val="00C468C9"/>
    <w:rsid w:val="00C541D5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D192E"/>
    <w:rsid w:val="00CE025D"/>
    <w:rsid w:val="00CF02AC"/>
    <w:rsid w:val="00CF7DC5"/>
    <w:rsid w:val="00D01CBD"/>
    <w:rsid w:val="00D0236F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33B"/>
    <w:rsid w:val="00D86AAE"/>
    <w:rsid w:val="00D9013F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733D6"/>
    <w:rsid w:val="00E850B1"/>
    <w:rsid w:val="00E86682"/>
    <w:rsid w:val="00E86A59"/>
    <w:rsid w:val="00E87806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05DD4"/>
    <w:rsid w:val="00F12501"/>
    <w:rsid w:val="00F2161C"/>
    <w:rsid w:val="00F23E1A"/>
    <w:rsid w:val="00F259A0"/>
    <w:rsid w:val="00F3013E"/>
    <w:rsid w:val="00F30330"/>
    <w:rsid w:val="00F3601B"/>
    <w:rsid w:val="00F36BC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34AC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1730</Words>
  <Characters>10384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6</cp:revision>
  <cp:lastPrinted>2021-04-20T05:08:00Z</cp:lastPrinted>
  <dcterms:created xsi:type="dcterms:W3CDTF">2025-09-24T08:38:00Z</dcterms:created>
  <dcterms:modified xsi:type="dcterms:W3CDTF">2025-11-18T06:42:00Z</dcterms:modified>
</cp:coreProperties>
</file>